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E0D4" w14:textId="3C925B86" w:rsidR="00184DEB" w:rsidRDefault="00245854" w:rsidP="00E87FB1">
      <w:pPr>
        <w:pStyle w:val="RGbul1"/>
        <w:numPr>
          <w:ilvl w:val="0"/>
          <w:numId w:val="0"/>
        </w:numPr>
        <w:jc w:val="center"/>
        <w:rPr>
          <w:b/>
          <w:bCs/>
          <w:sz w:val="28"/>
          <w:szCs w:val="28"/>
        </w:rPr>
      </w:pPr>
      <w:r>
        <w:br/>
      </w:r>
      <w:r w:rsidRPr="00245854">
        <w:rPr>
          <w:b/>
          <w:bCs/>
          <w:sz w:val="28"/>
          <w:szCs w:val="28"/>
        </w:rPr>
        <w:t xml:space="preserve">Russell Group response to the APPG on Diversity and Inclusion </w:t>
      </w:r>
      <w:r>
        <w:rPr>
          <w:b/>
          <w:bCs/>
          <w:sz w:val="28"/>
          <w:szCs w:val="28"/>
        </w:rPr>
        <w:t>i</w:t>
      </w:r>
      <w:r w:rsidRPr="00245854">
        <w:rPr>
          <w:b/>
          <w:bCs/>
          <w:sz w:val="28"/>
          <w:szCs w:val="28"/>
        </w:rPr>
        <w:t xml:space="preserve">nquiry into </w:t>
      </w:r>
      <w:r>
        <w:rPr>
          <w:b/>
          <w:bCs/>
          <w:sz w:val="28"/>
          <w:szCs w:val="28"/>
        </w:rPr>
        <w:t>e</w:t>
      </w:r>
      <w:r w:rsidRPr="00245854">
        <w:rPr>
          <w:b/>
          <w:bCs/>
          <w:sz w:val="28"/>
          <w:szCs w:val="28"/>
        </w:rPr>
        <w:t>quity in the STEM workforce</w:t>
      </w:r>
    </w:p>
    <w:p w14:paraId="0A2088A8" w14:textId="67775FB6" w:rsidR="00245854" w:rsidRDefault="00245854" w:rsidP="00180C21">
      <w:r w:rsidRPr="00AD756A">
        <w:rPr>
          <w:lang w:val="en-US"/>
        </w:rPr>
        <w:t xml:space="preserve">The Russell Group represents 24 leading UK universities which are committed to maintaining an outstanding teaching and learning experience and world-leading research. Our universities teach </w:t>
      </w:r>
      <w:r w:rsidRPr="00AD756A">
        <w:rPr>
          <w:color w:val="000000" w:themeColor="text1"/>
          <w:lang w:val="en-US"/>
        </w:rPr>
        <w:t xml:space="preserve">a quarter of all undergraduates and </w:t>
      </w:r>
      <w:r w:rsidRPr="00AD756A">
        <w:rPr>
          <w:lang w:val="en-US"/>
        </w:rPr>
        <w:t xml:space="preserve">support over a quarter-million jobs </w:t>
      </w:r>
      <w:r w:rsidR="00D13159">
        <w:rPr>
          <w:lang w:val="en-US"/>
        </w:rPr>
        <w:t xml:space="preserve">(directly and indirectly) </w:t>
      </w:r>
      <w:r w:rsidRPr="00AD756A">
        <w:rPr>
          <w:lang w:val="en-US"/>
        </w:rPr>
        <w:t xml:space="preserve">across the UK. </w:t>
      </w:r>
      <w:r w:rsidR="00DF08F4" w:rsidRPr="00AD756A">
        <w:rPr>
          <w:lang w:val="en-US"/>
        </w:rPr>
        <w:t xml:space="preserve">Graduates from the 24 universities account for </w:t>
      </w:r>
      <w:r w:rsidR="00DF08F4">
        <w:t>80% of all UK university qualifications in medicine and dentistry, 61% of qualifications in mathematical sciences and 53% of qualifications in physical sciences.</w:t>
      </w:r>
      <w:r w:rsidR="00900D11">
        <w:rPr>
          <w:rStyle w:val="FootnoteReference"/>
        </w:rPr>
        <w:footnoteReference w:id="1"/>
      </w:r>
      <w:r w:rsidR="00AD756A">
        <w:t xml:space="preserve"> </w:t>
      </w:r>
      <w:r>
        <w:t xml:space="preserve">We welcome the opportunity to contribute to this inquiry. </w:t>
      </w:r>
    </w:p>
    <w:p w14:paraId="28C0DFB0" w14:textId="2AC253AB" w:rsidR="00867EC0" w:rsidRDefault="00807583" w:rsidP="00180C21">
      <w:pPr>
        <w:pStyle w:val="Heading1"/>
        <w:numPr>
          <w:ilvl w:val="0"/>
          <w:numId w:val="24"/>
        </w:numPr>
      </w:pPr>
      <w:r>
        <w:t>Russell Group d</w:t>
      </w:r>
      <w:r w:rsidR="00C57686">
        <w:t>ata</w:t>
      </w:r>
    </w:p>
    <w:p w14:paraId="6ED18CA4" w14:textId="2F80D789" w:rsidR="00F82351" w:rsidRDefault="00181094" w:rsidP="00C57686">
      <w:pPr>
        <w:pStyle w:val="Heading2"/>
      </w:pPr>
      <w:r>
        <w:t>Data</w:t>
      </w:r>
      <w:r w:rsidR="006B255F">
        <w:t xml:space="preserve"> </w:t>
      </w:r>
      <w:r>
        <w:t xml:space="preserve">from the </w:t>
      </w:r>
      <w:r w:rsidRPr="00181094">
        <w:t>Higher Education Statistics Agency</w:t>
      </w:r>
      <w:r>
        <w:t xml:space="preserve"> (HESA)</w:t>
      </w:r>
      <w:r w:rsidRPr="00181094">
        <w:rPr>
          <w:rStyle w:val="FootnoteReference"/>
        </w:rPr>
        <w:t xml:space="preserve"> </w:t>
      </w:r>
      <w:r>
        <w:rPr>
          <w:rStyle w:val="FootnoteReference"/>
        </w:rPr>
        <w:footnoteReference w:id="2"/>
      </w:r>
      <w:r>
        <w:t xml:space="preserve"> shows that </w:t>
      </w:r>
      <w:r w:rsidR="006B255F">
        <w:t xml:space="preserve">there has been progress in the number of staff from </w:t>
      </w:r>
      <w:r w:rsidR="003C6CCE">
        <w:t>under-represented groups</w:t>
      </w:r>
      <w:r>
        <w:t xml:space="preserve"> </w:t>
      </w:r>
      <w:r w:rsidR="006B255F">
        <w:t>working in STEM departments at Russell Group universities</w:t>
      </w:r>
      <w:r w:rsidR="003B6E9C">
        <w:t>:</w:t>
      </w:r>
    </w:p>
    <w:p w14:paraId="36412082" w14:textId="252977F0" w:rsidR="00F82351" w:rsidRDefault="00F82351" w:rsidP="00F82351">
      <w:pPr>
        <w:pStyle w:val="RGsubhead1"/>
      </w:pPr>
      <w:r>
        <w:t>Gender</w:t>
      </w:r>
    </w:p>
    <w:p w14:paraId="6C3F9E20" w14:textId="57259ABC" w:rsidR="003C5383" w:rsidRPr="00C33EB2" w:rsidRDefault="003C5383" w:rsidP="00C33EB2">
      <w:pPr>
        <w:pStyle w:val="Heading2"/>
      </w:pPr>
      <w:r w:rsidRPr="00C33EB2">
        <w:t>The number of women increased by 18% between 2013/14 and 2018/19, compared to a 14% increase in the number of men. This has led to a slight narrowing of the gap between the ratio of men to women (from 53:47 in 2013/14 to 52:48 in 2018/19).</w:t>
      </w:r>
    </w:p>
    <w:p w14:paraId="6DC0F66F" w14:textId="5310EB9B" w:rsidR="00F82351" w:rsidRDefault="00F82351" w:rsidP="00F82351">
      <w:pPr>
        <w:pStyle w:val="RGsubhead1"/>
      </w:pPr>
      <w:r>
        <w:t>Ethnicity</w:t>
      </w:r>
    </w:p>
    <w:p w14:paraId="4139EA76" w14:textId="06D4747F" w:rsidR="00F82351" w:rsidRDefault="003C5383" w:rsidP="00C33EB2">
      <w:pPr>
        <w:pStyle w:val="Heading2"/>
      </w:pPr>
      <w:r>
        <w:t xml:space="preserve">18% of staff at Russell Group universities working in STEM departments are from Black, </w:t>
      </w:r>
      <w:proofErr w:type="gramStart"/>
      <w:r>
        <w:t>Asian</w:t>
      </w:r>
      <w:proofErr w:type="gramEnd"/>
      <w:r>
        <w:t xml:space="preserve"> and mixed-race backgrounds.</w:t>
      </w:r>
      <w:r w:rsidR="009B1CE6">
        <w:rPr>
          <w:rStyle w:val="FootnoteReference"/>
        </w:rPr>
        <w:footnoteReference w:id="3"/>
      </w:r>
    </w:p>
    <w:p w14:paraId="4D87A1B6" w14:textId="4413502B" w:rsidR="00D86EE5" w:rsidRDefault="00B0224C" w:rsidP="00C33EB2">
      <w:pPr>
        <w:pStyle w:val="Heading2"/>
      </w:pPr>
      <w:r>
        <w:rPr>
          <w:noProof/>
        </w:rPr>
        <w:drawing>
          <wp:anchor distT="0" distB="0" distL="114300" distR="114300" simplePos="0" relativeHeight="251658240" behindDoc="0" locked="0" layoutInCell="1" allowOverlap="1" wp14:anchorId="542B2B22" wp14:editId="66678FD3">
            <wp:simplePos x="0" y="0"/>
            <wp:positionH relativeFrom="margin">
              <wp:posOffset>646430</wp:posOffset>
            </wp:positionH>
            <wp:positionV relativeFrom="paragraph">
              <wp:posOffset>605155</wp:posOffset>
            </wp:positionV>
            <wp:extent cx="4998720" cy="2438400"/>
            <wp:effectExtent l="0" t="0" r="0" b="0"/>
            <wp:wrapTopAndBottom/>
            <wp:docPr id="2" name="Chart 2">
              <a:extLst xmlns:a="http://schemas.openxmlformats.org/drawingml/2006/main">
                <a:ext uri="{FF2B5EF4-FFF2-40B4-BE49-F238E27FC236}">
                  <a16:creationId xmlns:a16="http://schemas.microsoft.com/office/drawing/2014/main" id="{902B0CF4-C812-4BB6-9D27-2B76E2AF7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86EE5">
        <w:t>Between 201</w:t>
      </w:r>
      <w:r w:rsidR="003C5383">
        <w:t>3</w:t>
      </w:r>
      <w:r w:rsidR="00D86EE5">
        <w:t>/1</w:t>
      </w:r>
      <w:r w:rsidR="003C5383">
        <w:t>4</w:t>
      </w:r>
      <w:r w:rsidR="00D86EE5">
        <w:t xml:space="preserve"> and 2018/19, the </w:t>
      </w:r>
      <w:r w:rsidR="00D86EE5" w:rsidRPr="0098180E">
        <w:t xml:space="preserve">number of </w:t>
      </w:r>
      <w:r w:rsidR="00D86EE5">
        <w:t>m</w:t>
      </w:r>
      <w:r w:rsidR="00D86EE5" w:rsidRPr="0098180E">
        <w:t xml:space="preserve">ixed-race staff </w:t>
      </w:r>
      <w:r w:rsidR="00BA7B28">
        <w:t xml:space="preserve">in Russell Group STEM departments </w:t>
      </w:r>
      <w:r w:rsidR="00D86EE5" w:rsidRPr="00652663">
        <w:t xml:space="preserve">increased by </w:t>
      </w:r>
      <w:r w:rsidR="00D86EE5">
        <w:t>65</w:t>
      </w:r>
      <w:r w:rsidR="00D86EE5" w:rsidRPr="00652663">
        <w:t xml:space="preserve">% and </w:t>
      </w:r>
      <w:r w:rsidR="00D86EE5" w:rsidRPr="0098180E">
        <w:t xml:space="preserve">Black and Asian staff numbers have increased by </w:t>
      </w:r>
      <w:r w:rsidR="00D86EE5">
        <w:t>40% and 42</w:t>
      </w:r>
      <w:r w:rsidR="00D86EE5" w:rsidRPr="00926608">
        <w:t>%</w:t>
      </w:r>
      <w:r w:rsidR="00D86EE5">
        <w:t xml:space="preserve"> respectively. This compares to a 13% increase in White staff</w:t>
      </w:r>
      <w:r w:rsidR="0099617D">
        <w:t xml:space="preserve"> over the same period</w:t>
      </w:r>
      <w:r w:rsidR="00D86EE5">
        <w:t>.</w:t>
      </w:r>
      <w:r w:rsidRPr="00B0224C">
        <w:rPr>
          <w:noProof/>
        </w:rPr>
        <w:t xml:space="preserve"> </w:t>
      </w:r>
    </w:p>
    <w:p w14:paraId="40F10121" w14:textId="07660E65" w:rsidR="00F82351" w:rsidRDefault="00F82351" w:rsidP="00F82351">
      <w:pPr>
        <w:pStyle w:val="RGsubhead1"/>
      </w:pPr>
      <w:r>
        <w:lastRenderedPageBreak/>
        <w:t>Disability</w:t>
      </w:r>
    </w:p>
    <w:p w14:paraId="7142E0C6" w14:textId="7AA6E836" w:rsidR="00F82351" w:rsidRPr="00F82351" w:rsidRDefault="00A05CF6" w:rsidP="00F82351">
      <w:pPr>
        <w:pStyle w:val="Heading2"/>
      </w:pPr>
      <w:r>
        <w:t xml:space="preserve">In 2018/19, </w:t>
      </w:r>
      <w:r w:rsidR="00474040">
        <w:t>4% of staff in Russell Group STEM departments were known to have a disability.</w:t>
      </w:r>
      <w:r w:rsidR="00A54FDF">
        <w:t xml:space="preserve"> </w:t>
      </w:r>
    </w:p>
    <w:p w14:paraId="6A8C75CB" w14:textId="246D3F1B" w:rsidR="00670952" w:rsidRPr="00670952" w:rsidRDefault="00670952" w:rsidP="00474040">
      <w:pPr>
        <w:pStyle w:val="Heading2"/>
      </w:pPr>
      <w:r w:rsidRPr="00474040">
        <w:t>Disabled staff numbers</w:t>
      </w:r>
      <w:r w:rsidRPr="0098180E">
        <w:rPr>
          <w:b/>
          <w:bCs w:val="0"/>
        </w:rPr>
        <w:t xml:space="preserve"> </w:t>
      </w:r>
      <w:r w:rsidRPr="0098180E">
        <w:t>increased by</w:t>
      </w:r>
      <w:r>
        <w:t xml:space="preserve"> </w:t>
      </w:r>
      <w:r w:rsidR="00E42FDA" w:rsidRPr="00F83CD6">
        <w:t>58</w:t>
      </w:r>
      <w:r w:rsidRPr="00F83CD6">
        <w:t>%</w:t>
      </w:r>
      <w:r w:rsidR="00474040">
        <w:rPr>
          <w:b/>
          <w:bCs w:val="0"/>
        </w:rPr>
        <w:t xml:space="preserve"> </w:t>
      </w:r>
      <w:r w:rsidR="00474040">
        <w:t>between 2013/14 and 2018/19</w:t>
      </w:r>
      <w:r>
        <w:t>, compared with a 1</w:t>
      </w:r>
      <w:r w:rsidR="00E42FDA">
        <w:t>5</w:t>
      </w:r>
      <w:r>
        <w:t xml:space="preserve">% </w:t>
      </w:r>
      <w:r w:rsidRPr="00474040">
        <w:t>increase</w:t>
      </w:r>
      <w:r>
        <w:t xml:space="preserve"> in staff who have no known disability.</w:t>
      </w:r>
    </w:p>
    <w:p w14:paraId="2999733D" w14:textId="2B455FB9" w:rsidR="00670952" w:rsidRDefault="00BD4A66" w:rsidP="000A189C">
      <w:pPr>
        <w:pStyle w:val="Heading1"/>
      </w:pPr>
      <w:r>
        <w:t>Approaches to s</w:t>
      </w:r>
      <w:r w:rsidR="00D41186">
        <w:t>upporting EDI</w:t>
      </w:r>
      <w:r>
        <w:t xml:space="preserve"> </w:t>
      </w:r>
      <w:r w:rsidR="00F378F4">
        <w:t xml:space="preserve">in </w:t>
      </w:r>
      <w:proofErr w:type="gramStart"/>
      <w:r w:rsidR="00F378F4">
        <w:t>research</w:t>
      </w:r>
      <w:proofErr w:type="gramEnd"/>
    </w:p>
    <w:p w14:paraId="35D3C6FB" w14:textId="77777777" w:rsidR="006E375B" w:rsidRDefault="006E375B" w:rsidP="006E375B">
      <w:pPr>
        <w:pStyle w:val="Heading2"/>
      </w:pPr>
      <w:r w:rsidRPr="006E638E">
        <w:t xml:space="preserve">The challenges faced by underrepresented groups vary, both between different groups and between different </w:t>
      </w:r>
      <w:r>
        <w:t xml:space="preserve">institutions, </w:t>
      </w:r>
      <w:proofErr w:type="gramStart"/>
      <w:r>
        <w:t>roles</w:t>
      </w:r>
      <w:proofErr w:type="gramEnd"/>
      <w:r>
        <w:t xml:space="preserve"> and </w:t>
      </w:r>
      <w:r w:rsidRPr="006E638E">
        <w:t xml:space="preserve">environments. This means that no ‘one-size-fits-all’ approach is likely to work in supporting </w:t>
      </w:r>
      <w:r>
        <w:t xml:space="preserve">Equality, </w:t>
      </w:r>
      <w:proofErr w:type="gramStart"/>
      <w:r>
        <w:t>Diversity</w:t>
      </w:r>
      <w:proofErr w:type="gramEnd"/>
      <w:r>
        <w:t xml:space="preserve"> and Inclusion (</w:t>
      </w:r>
      <w:r w:rsidRPr="006E638E">
        <w:t>EDI</w:t>
      </w:r>
      <w:r>
        <w:t>)</w:t>
      </w:r>
      <w:r w:rsidRPr="006E638E">
        <w:t>, and that a range of different approaches are required to support the success of groups facing different challenges.</w:t>
      </w:r>
    </w:p>
    <w:p w14:paraId="2CE75E34" w14:textId="5EFBF763" w:rsidR="00F244DC" w:rsidRPr="00855716" w:rsidRDefault="00F244DC" w:rsidP="00F244DC">
      <w:pPr>
        <w:pStyle w:val="Heading2"/>
        <w:rPr>
          <w:color w:val="000000"/>
        </w:rPr>
      </w:pPr>
      <w:r w:rsidRPr="006E638E">
        <w:t>Th</w:t>
      </w:r>
      <w:r>
        <w:t>rough consultation with a number of stakeholders within the research community</w:t>
      </w:r>
      <w:r w:rsidR="00525174">
        <w:t xml:space="preserve"> </w:t>
      </w:r>
      <w:r w:rsidR="00DD7E6F">
        <w:t>and our members</w:t>
      </w:r>
      <w:r>
        <w:t xml:space="preserve">, we have identified </w:t>
      </w:r>
      <w:r w:rsidR="00C3418E">
        <w:t>several</w:t>
      </w:r>
      <w:r>
        <w:t xml:space="preserve"> ideas and examples of good practice which </w:t>
      </w:r>
      <w:r w:rsidR="00B4055A">
        <w:t xml:space="preserve">universities, funders and other stakeholders can consider </w:t>
      </w:r>
      <w:proofErr w:type="gramStart"/>
      <w:r w:rsidR="00B4055A">
        <w:t>to</w:t>
      </w:r>
      <w:r>
        <w:t xml:space="preserve"> support</w:t>
      </w:r>
      <w:proofErr w:type="gramEnd"/>
      <w:r>
        <w:t xml:space="preserve"> a</w:t>
      </w:r>
      <w:r w:rsidR="00B4055A">
        <w:t xml:space="preserve"> more</w:t>
      </w:r>
      <w:r>
        <w:t xml:space="preserve"> equitable </w:t>
      </w:r>
      <w:r w:rsidR="00AD756A">
        <w:t xml:space="preserve">research </w:t>
      </w:r>
      <w:r>
        <w:t>environment and culture. These include:</w:t>
      </w:r>
    </w:p>
    <w:p w14:paraId="4315BBAB" w14:textId="1BF61C6F" w:rsidR="00F244DC" w:rsidRDefault="00F244DC" w:rsidP="00F244DC">
      <w:pPr>
        <w:pStyle w:val="Heading3"/>
      </w:pPr>
      <w:r>
        <w:t>Addressing some of the potential consequences of very short-term contracts</w:t>
      </w:r>
      <w:r w:rsidR="00416716">
        <w:t xml:space="preserve"> (which can be particularly challenging for those with caring responsibilities who are likely to find it more difficult to </w:t>
      </w:r>
      <w:r w:rsidR="00416716" w:rsidRPr="00416716">
        <w:t>move regularly between jobs and job locations</w:t>
      </w:r>
      <w:r w:rsidR="00416716">
        <w:t>)</w:t>
      </w:r>
      <w:r>
        <w:t xml:space="preserve"> and exploring the development of bridging funding </w:t>
      </w:r>
      <w:proofErr w:type="gramStart"/>
      <w:r>
        <w:t>schemes</w:t>
      </w:r>
      <w:proofErr w:type="gramEnd"/>
    </w:p>
    <w:p w14:paraId="33CD739A" w14:textId="4BAD8D7D" w:rsidR="00F244DC" w:rsidRDefault="00F244DC" w:rsidP="00F244DC">
      <w:pPr>
        <w:pStyle w:val="Heading3"/>
      </w:pPr>
      <w:r>
        <w:t xml:space="preserve">Ensuring career progression is open to those from all backgrounds, including those with caring responsibilities and disabilities, by offering appropriate part-time and flexible working options for staff, and taking account of career breaks when assessing </w:t>
      </w:r>
      <w:proofErr w:type="gramStart"/>
      <w:r>
        <w:t>productivity</w:t>
      </w:r>
      <w:proofErr w:type="gramEnd"/>
    </w:p>
    <w:p w14:paraId="6BD8A4AC" w14:textId="5C19D2F8" w:rsidR="00F244DC" w:rsidRDefault="00F244DC" w:rsidP="00F244DC">
      <w:pPr>
        <w:pStyle w:val="Heading3"/>
      </w:pPr>
      <w:r>
        <w:t>Providing specialised mentoring schemes for underrepresented communities</w:t>
      </w:r>
    </w:p>
    <w:p w14:paraId="7132507E" w14:textId="77777777" w:rsidR="00F244DC" w:rsidRPr="00855716" w:rsidRDefault="00F244DC" w:rsidP="00F244DC">
      <w:pPr>
        <w:pStyle w:val="Heading3"/>
      </w:pPr>
      <w:r>
        <w:t xml:space="preserve">Finding ways to reward contributions to equality, </w:t>
      </w:r>
      <w:proofErr w:type="gramStart"/>
      <w:r>
        <w:t>diversity</w:t>
      </w:r>
      <w:proofErr w:type="gramEnd"/>
      <w:r>
        <w:t xml:space="preserve"> and inclusion, such as within hiring and promotion criteria, application processes for internal funding and through other awards.</w:t>
      </w:r>
    </w:p>
    <w:p w14:paraId="2B4700DB" w14:textId="75F0E6EA" w:rsidR="006E638E" w:rsidRPr="006E638E" w:rsidRDefault="006E375B" w:rsidP="006E638E">
      <w:pPr>
        <w:pStyle w:val="Heading2"/>
      </w:pPr>
      <w:r>
        <w:t xml:space="preserve">Some </w:t>
      </w:r>
      <w:r w:rsidR="000D5A74">
        <w:t xml:space="preserve">specific </w:t>
      </w:r>
      <w:r w:rsidR="006E638E">
        <w:t xml:space="preserve">examples from Russell Group universities which illustrate </w:t>
      </w:r>
      <w:r w:rsidR="000D5A74">
        <w:t>the</w:t>
      </w:r>
      <w:r w:rsidR="006E638E">
        <w:t xml:space="preserve"> range of </w:t>
      </w:r>
      <w:r>
        <w:t>approaches to</w:t>
      </w:r>
      <w:r w:rsidR="006E638E">
        <w:t xml:space="preserve"> </w:t>
      </w:r>
      <w:r w:rsidR="000F68E4">
        <w:t>supporting</w:t>
      </w:r>
      <w:r w:rsidR="006E638E">
        <w:t xml:space="preserve"> an equitable environment in </w:t>
      </w:r>
      <w:r w:rsidR="00EC46B2">
        <w:t xml:space="preserve">the </w:t>
      </w:r>
      <w:r w:rsidR="00850EB3">
        <w:t xml:space="preserve">STEM </w:t>
      </w:r>
      <w:r w:rsidR="00EC46B2">
        <w:t xml:space="preserve">workforce </w:t>
      </w:r>
      <w:r w:rsidR="005D674B">
        <w:t>include</w:t>
      </w:r>
      <w:r w:rsidR="006E638E">
        <w:t>:</w:t>
      </w:r>
    </w:p>
    <w:p w14:paraId="03C531E3" w14:textId="72B1024E" w:rsidR="006E638E" w:rsidRPr="006E638E" w:rsidRDefault="006E638E" w:rsidP="006E638E">
      <w:pPr>
        <w:pStyle w:val="ListParagraph"/>
        <w:numPr>
          <w:ilvl w:val="0"/>
          <w:numId w:val="22"/>
        </w:numPr>
        <w:rPr>
          <w:b/>
          <w:bCs/>
          <w:color w:val="000000"/>
        </w:rPr>
      </w:pPr>
      <w:r w:rsidRPr="006E638E">
        <w:rPr>
          <w:b/>
          <w:color w:val="000000" w:themeColor="text1"/>
        </w:rPr>
        <w:t>Equality, diversity and inclusion strategy</w:t>
      </w:r>
      <w:r w:rsidR="00250E84">
        <w:rPr>
          <w:b/>
          <w:color w:val="000000" w:themeColor="text1"/>
        </w:rPr>
        <w:t>,</w:t>
      </w:r>
      <w:r w:rsidRPr="006E638E">
        <w:rPr>
          <w:b/>
          <w:color w:val="000000" w:themeColor="text1"/>
        </w:rPr>
        <w:t xml:space="preserve"> Imperial College, London: </w:t>
      </w:r>
      <w:r w:rsidRPr="006E638E">
        <w:rPr>
          <w:color w:val="000000"/>
        </w:rPr>
        <w:t xml:space="preserve">Imperial’s strategy, </w:t>
      </w:r>
      <w:r w:rsidRPr="006E638E">
        <w:rPr>
          <w:i/>
          <w:iCs/>
          <w:color w:val="000000"/>
        </w:rPr>
        <w:t>Inclusive Excellence</w:t>
      </w:r>
      <w:r w:rsidRPr="006E638E">
        <w:rPr>
          <w:color w:val="000000"/>
        </w:rPr>
        <w:t xml:space="preserve">, has been developed in consultation with the College’s community and has seen the appointment of the College’s first </w:t>
      </w:r>
      <w:r w:rsidRPr="006E638E">
        <w:t xml:space="preserve">Assistant Provost for EDI. The strategy includes commitments </w:t>
      </w:r>
      <w:proofErr w:type="gramStart"/>
      <w:r w:rsidRPr="006E638E">
        <w:t>to:</w:t>
      </w:r>
      <w:proofErr w:type="gramEnd"/>
      <w:r w:rsidRPr="006E638E">
        <w:t xml:space="preserve"> refresh the membership of its Council to reflect the diversity of its stakeholders, ensure those with significant management responsibility receive appropriate EDI training, identify and nurture talent from under-represented groups and incorporate consideration of EDI in the design of research projects that have a direct impact on people.</w:t>
      </w:r>
      <w:r w:rsidRPr="006E638E">
        <w:rPr>
          <w:rStyle w:val="FootnoteReference"/>
          <w:color w:val="000000"/>
        </w:rPr>
        <w:footnoteReference w:id="4"/>
      </w:r>
      <w:r>
        <w:br/>
      </w:r>
    </w:p>
    <w:p w14:paraId="1BE274B1" w14:textId="14C3CC94" w:rsidR="006E638E" w:rsidRPr="00250E84" w:rsidRDefault="00250E84" w:rsidP="006E638E">
      <w:pPr>
        <w:pStyle w:val="ListParagraph"/>
        <w:numPr>
          <w:ilvl w:val="0"/>
          <w:numId w:val="22"/>
        </w:numPr>
        <w:rPr>
          <w:b/>
          <w:bCs/>
          <w:color w:val="000000"/>
        </w:rPr>
      </w:pPr>
      <w:r>
        <w:rPr>
          <w:b/>
          <w:bCs/>
          <w:color w:val="000000"/>
        </w:rPr>
        <w:t>Unconscious Bias Observers, University of York:</w:t>
      </w:r>
      <w:r w:rsidRPr="00250E84">
        <w:rPr>
          <w:b/>
          <w:bCs/>
          <w:color w:val="000000"/>
        </w:rPr>
        <w:t xml:space="preserve"> </w:t>
      </w:r>
      <w:r w:rsidRPr="00250E84">
        <w:rPr>
          <w:color w:val="000000"/>
        </w:rPr>
        <w:t xml:space="preserve">introduction of unconscious bias observers within the University of York's chemistry department helped lead to significant increases in the percentage of female researchers employed within the department. There have also been significant improvements in the recruitment ratio of women to men for teaching and scholarship staff. Analysis of recruitment trends since </w:t>
      </w:r>
      <w:r w:rsidR="00352871">
        <w:rPr>
          <w:color w:val="000000"/>
        </w:rPr>
        <w:t xml:space="preserve">the </w:t>
      </w:r>
      <w:r w:rsidRPr="00250E84">
        <w:rPr>
          <w:color w:val="000000"/>
        </w:rPr>
        <w:t>introduction of unconscious bias observers as shown female and male appointment rates are now equivalent, indicating a gender-neutral recruitment process.</w:t>
      </w:r>
      <w:r>
        <w:rPr>
          <w:color w:val="000000"/>
        </w:rPr>
        <w:br/>
      </w:r>
    </w:p>
    <w:p w14:paraId="2507B91B" w14:textId="52426B91" w:rsidR="00F244DC" w:rsidRPr="00AF469F" w:rsidRDefault="00910EEA" w:rsidP="00910EEA">
      <w:pPr>
        <w:pStyle w:val="paragraph"/>
        <w:numPr>
          <w:ilvl w:val="0"/>
          <w:numId w:val="22"/>
        </w:numPr>
        <w:spacing w:before="0" w:beforeAutospacing="0" w:after="0" w:afterAutospacing="0"/>
        <w:textAlignment w:val="baseline"/>
        <w:rPr>
          <w:rFonts w:ascii="Arial" w:eastAsiaTheme="minorEastAsia" w:hAnsi="Arial" w:cs="Arial"/>
          <w:color w:val="000000"/>
          <w:sz w:val="22"/>
          <w:szCs w:val="22"/>
          <w:lang w:eastAsia="en-US"/>
        </w:rPr>
      </w:pPr>
      <w:r w:rsidRPr="00910EEA">
        <w:rPr>
          <w:rFonts w:ascii="Arial" w:eastAsiaTheme="minorEastAsia" w:hAnsi="Arial" w:cs="Arial"/>
          <w:b/>
          <w:bCs/>
          <w:color w:val="000000"/>
          <w:sz w:val="22"/>
          <w:szCs w:val="22"/>
          <w:lang w:eastAsia="en-US"/>
        </w:rPr>
        <w:t xml:space="preserve">Postdoctoral researcher contract extensions, University of Birmingham: </w:t>
      </w:r>
      <w:proofErr w:type="gramStart"/>
      <w:r w:rsidRPr="00910EEA">
        <w:rPr>
          <w:rFonts w:ascii="Arial" w:eastAsiaTheme="minorEastAsia" w:hAnsi="Arial" w:cs="Arial"/>
          <w:color w:val="000000"/>
          <w:sz w:val="22"/>
          <w:szCs w:val="22"/>
          <w:lang w:eastAsia="en-US"/>
        </w:rPr>
        <w:t>the</w:t>
      </w:r>
      <w:proofErr w:type="gramEnd"/>
      <w:r w:rsidRPr="00910EEA">
        <w:rPr>
          <w:rFonts w:ascii="Arial" w:eastAsiaTheme="minorEastAsia" w:hAnsi="Arial" w:cs="Arial"/>
          <w:color w:val="000000"/>
          <w:sz w:val="22"/>
          <w:szCs w:val="22"/>
          <w:lang w:eastAsia="en-US"/>
        </w:rPr>
        <w:t xml:space="preserve"> University used an EPSRC </w:t>
      </w:r>
      <w:r w:rsidR="006461A5">
        <w:rPr>
          <w:rFonts w:ascii="Arial" w:eastAsiaTheme="minorEastAsia" w:hAnsi="Arial" w:cs="Arial"/>
          <w:color w:val="000000"/>
          <w:sz w:val="22"/>
          <w:szCs w:val="22"/>
          <w:lang w:eastAsia="en-US"/>
        </w:rPr>
        <w:t>‘</w:t>
      </w:r>
      <w:r w:rsidRPr="00910EEA">
        <w:rPr>
          <w:rFonts w:ascii="Arial" w:eastAsiaTheme="minorEastAsia" w:hAnsi="Arial" w:cs="Arial"/>
          <w:color w:val="000000"/>
          <w:sz w:val="22"/>
          <w:szCs w:val="22"/>
          <w:lang w:eastAsia="en-US"/>
        </w:rPr>
        <w:t>Inclusion Matters</w:t>
      </w:r>
      <w:r w:rsidR="006461A5">
        <w:rPr>
          <w:rFonts w:ascii="Arial" w:eastAsiaTheme="minorEastAsia" w:hAnsi="Arial" w:cs="Arial"/>
          <w:color w:val="000000"/>
          <w:sz w:val="22"/>
          <w:szCs w:val="22"/>
          <w:lang w:eastAsia="en-US"/>
        </w:rPr>
        <w:t>’</w:t>
      </w:r>
      <w:r w:rsidRPr="00910EEA">
        <w:rPr>
          <w:rFonts w:ascii="Arial" w:eastAsiaTheme="minorEastAsia" w:hAnsi="Arial" w:cs="Arial"/>
          <w:color w:val="000000"/>
          <w:sz w:val="22"/>
          <w:szCs w:val="22"/>
          <w:lang w:eastAsia="en-US"/>
        </w:rPr>
        <w:t xml:space="preserve"> grant to create a pilot scheme to support the career progression of postdoctoral researchers from underrepresented backgrounds working in physical science and engineering research. Participants were provided with a three</w:t>
      </w:r>
      <w:r w:rsidR="006461A5">
        <w:rPr>
          <w:rFonts w:ascii="Arial" w:eastAsiaTheme="minorEastAsia" w:hAnsi="Arial" w:cs="Arial"/>
          <w:color w:val="000000"/>
          <w:sz w:val="22"/>
          <w:szCs w:val="22"/>
          <w:lang w:eastAsia="en-US"/>
        </w:rPr>
        <w:t>-</w:t>
      </w:r>
      <w:r w:rsidRPr="00910EEA">
        <w:rPr>
          <w:rFonts w:ascii="Arial" w:eastAsiaTheme="minorEastAsia" w:hAnsi="Arial" w:cs="Arial"/>
          <w:color w:val="000000"/>
          <w:sz w:val="22"/>
          <w:szCs w:val="22"/>
          <w:lang w:eastAsia="en-US"/>
        </w:rPr>
        <w:t xml:space="preserve"> month extension to their contracts and offered bespoke training packages designed to develop them as independent researchers. The postdoctoral researchers involved spent time away from their main project, working with an experienced mentor to write papers, develop individual fellowship proposals, and grow their academic and industrial networks. Three </w:t>
      </w:r>
      <w:r w:rsidRPr="00910EEA">
        <w:rPr>
          <w:rFonts w:ascii="Arial" w:eastAsiaTheme="minorEastAsia" w:hAnsi="Arial" w:cs="Arial"/>
          <w:color w:val="000000"/>
          <w:sz w:val="22"/>
          <w:szCs w:val="22"/>
          <w:lang w:eastAsia="en-US"/>
        </w:rPr>
        <w:lastRenderedPageBreak/>
        <w:t>female engineers, one of whom has a disability, were supported successfully in the first pilot phase of the programme. The participants reported increased confidence in their research ideas and said working with mentors improved their understanding of the career options available to them. The University of Birmingham is currently working with funders to identify opportunities to carry the successful pilot forward and extend this kind of support to individuals from a wider range of groups underrepresented within the physical sciences.</w:t>
      </w:r>
      <w:r w:rsidRPr="00910EEA">
        <w:rPr>
          <w:rFonts w:ascii="Arial" w:eastAsiaTheme="minorEastAsia" w:hAnsi="Arial" w:cs="Arial"/>
          <w:color w:val="000000"/>
          <w:lang w:eastAsia="en-US"/>
        </w:rPr>
        <w:t> </w:t>
      </w:r>
    </w:p>
    <w:p w14:paraId="592570BE" w14:textId="0C63056A" w:rsidR="00AF469F" w:rsidRDefault="00AF469F" w:rsidP="00AF469F">
      <w:pPr>
        <w:pStyle w:val="paragraph"/>
        <w:spacing w:before="0" w:beforeAutospacing="0" w:after="0" w:afterAutospacing="0"/>
        <w:textAlignment w:val="baseline"/>
        <w:rPr>
          <w:rFonts w:ascii="Arial" w:eastAsiaTheme="minorEastAsia" w:hAnsi="Arial" w:cs="Arial"/>
          <w:sz w:val="22"/>
          <w:szCs w:val="22"/>
          <w:lang w:eastAsia="en-US"/>
        </w:rPr>
      </w:pPr>
    </w:p>
    <w:p w14:paraId="4DD3658F" w14:textId="67B276D0" w:rsidR="00AF469F" w:rsidRPr="00AF469F" w:rsidRDefault="00AF469F" w:rsidP="00AF469F">
      <w:pPr>
        <w:pStyle w:val="paragraph"/>
        <w:spacing w:before="0" w:beforeAutospacing="0" w:after="0" w:afterAutospacing="0"/>
        <w:textAlignment w:val="baseline"/>
        <w:rPr>
          <w:rFonts w:ascii="Arial" w:eastAsiaTheme="minorEastAsia" w:hAnsi="Arial" w:cs="Arial"/>
          <w:i/>
          <w:iCs/>
          <w:color w:val="000000"/>
          <w:sz w:val="22"/>
          <w:szCs w:val="22"/>
          <w:lang w:eastAsia="en-US"/>
        </w:rPr>
      </w:pPr>
      <w:r>
        <w:rPr>
          <w:rFonts w:ascii="Arial" w:eastAsiaTheme="minorEastAsia" w:hAnsi="Arial" w:cs="Arial"/>
          <w:i/>
          <w:iCs/>
          <w:sz w:val="22"/>
          <w:szCs w:val="22"/>
          <w:lang w:eastAsia="en-US"/>
        </w:rPr>
        <w:t>February 2021</w:t>
      </w:r>
    </w:p>
    <w:sectPr w:rsidR="00AF469F" w:rsidRPr="00AF469F" w:rsidSect="00E737C3">
      <w:headerReference w:type="default" r:id="rId9"/>
      <w:headerReference w:type="first" r:id="rId10"/>
      <w:footerReference w:type="first" r:id="rId11"/>
      <w:pgSz w:w="11900" w:h="16840"/>
      <w:pgMar w:top="794" w:right="794" w:bottom="794" w:left="79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DA05" w14:textId="77777777" w:rsidR="001D1BF8" w:rsidRDefault="001D1BF8" w:rsidP="009F0AD9">
      <w:r>
        <w:separator/>
      </w:r>
    </w:p>
  </w:endnote>
  <w:endnote w:type="continuationSeparator" w:id="0">
    <w:p w14:paraId="7E89D264" w14:textId="77777777" w:rsidR="001D1BF8" w:rsidRDefault="001D1BF8" w:rsidP="009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2D" w14:textId="77777777" w:rsidR="00E737C3" w:rsidRPr="00E737C3" w:rsidRDefault="00E737C3" w:rsidP="00E737C3">
    <w:pPr>
      <w:pStyle w:val="Footer"/>
      <w:ind w:left="5040"/>
      <w:jc w:val="right"/>
      <w:rPr>
        <w:b/>
      </w:rPr>
    </w:pPr>
    <w:r w:rsidRPr="00E737C3">
      <w:rPr>
        <w:b/>
      </w:rPr>
      <w:t>www.russellgroup.ac.uk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B562" w14:textId="77777777" w:rsidR="001D1BF8" w:rsidRDefault="001D1BF8" w:rsidP="009F0AD9">
      <w:r>
        <w:separator/>
      </w:r>
    </w:p>
  </w:footnote>
  <w:footnote w:type="continuationSeparator" w:id="0">
    <w:p w14:paraId="1143B442" w14:textId="77777777" w:rsidR="001D1BF8" w:rsidRDefault="001D1BF8" w:rsidP="009F0AD9">
      <w:r>
        <w:continuationSeparator/>
      </w:r>
    </w:p>
  </w:footnote>
  <w:footnote w:id="1">
    <w:p w14:paraId="1B646710" w14:textId="6E445D01" w:rsidR="00900D11" w:rsidRPr="00B22665" w:rsidRDefault="00900D11">
      <w:pPr>
        <w:pStyle w:val="FootnoteText"/>
        <w:rPr>
          <w:sz w:val="18"/>
          <w:szCs w:val="18"/>
        </w:rPr>
      </w:pPr>
      <w:r w:rsidRPr="00B22665">
        <w:rPr>
          <w:rStyle w:val="FootnoteReference"/>
          <w:sz w:val="16"/>
          <w:szCs w:val="16"/>
        </w:rPr>
        <w:footnoteRef/>
      </w:r>
      <w:r w:rsidRPr="00B22665">
        <w:rPr>
          <w:sz w:val="16"/>
          <w:szCs w:val="16"/>
        </w:rPr>
        <w:t xml:space="preserve"> HESA student data 2018/19.</w:t>
      </w:r>
    </w:p>
  </w:footnote>
  <w:footnote w:id="2">
    <w:p w14:paraId="7D1A984E" w14:textId="744E1B1D" w:rsidR="00181094" w:rsidRPr="006E638E" w:rsidRDefault="00181094" w:rsidP="00181094">
      <w:pPr>
        <w:pStyle w:val="FootnoteText"/>
        <w:rPr>
          <w:sz w:val="18"/>
          <w:szCs w:val="18"/>
        </w:rPr>
      </w:pPr>
      <w:r w:rsidRPr="00B22665">
        <w:rPr>
          <w:rStyle w:val="FootnoteReference"/>
          <w:sz w:val="16"/>
          <w:szCs w:val="16"/>
        </w:rPr>
        <w:footnoteRef/>
      </w:r>
      <w:r w:rsidRPr="00B22665">
        <w:rPr>
          <w:sz w:val="16"/>
          <w:szCs w:val="16"/>
        </w:rPr>
        <w:t xml:space="preserve"> </w:t>
      </w:r>
      <w:r w:rsidR="00A05CF6" w:rsidRPr="00B22665">
        <w:rPr>
          <w:sz w:val="16"/>
          <w:szCs w:val="16"/>
        </w:rPr>
        <w:t xml:space="preserve">Unless otherwise indicated, data is taken from </w:t>
      </w:r>
      <w:r w:rsidRPr="00B22665">
        <w:rPr>
          <w:sz w:val="16"/>
          <w:szCs w:val="16"/>
        </w:rPr>
        <w:t>HESA staff record 2018/19 (most recent year of data published)</w:t>
      </w:r>
      <w:r w:rsidR="006B255F" w:rsidRPr="00B22665">
        <w:rPr>
          <w:sz w:val="16"/>
          <w:szCs w:val="16"/>
        </w:rPr>
        <w:t xml:space="preserve"> – analysis performed on staff (</w:t>
      </w:r>
      <w:r w:rsidR="006B255F" w:rsidRPr="00E82F53">
        <w:rPr>
          <w:sz w:val="16"/>
          <w:szCs w:val="16"/>
        </w:rPr>
        <w:t>academic and non-academic</w:t>
      </w:r>
      <w:r w:rsidR="006B255F" w:rsidRPr="00B22665">
        <w:rPr>
          <w:sz w:val="16"/>
          <w:szCs w:val="16"/>
        </w:rPr>
        <w:t xml:space="preserve">) </w:t>
      </w:r>
      <w:r w:rsidR="00A05CF6" w:rsidRPr="00B22665">
        <w:rPr>
          <w:sz w:val="16"/>
          <w:szCs w:val="16"/>
        </w:rPr>
        <w:t xml:space="preserve">working </w:t>
      </w:r>
      <w:r w:rsidR="006B255F" w:rsidRPr="00B22665">
        <w:rPr>
          <w:sz w:val="16"/>
          <w:szCs w:val="16"/>
        </w:rPr>
        <w:t>in the following cost centres</w:t>
      </w:r>
      <w:r w:rsidR="0098180E" w:rsidRPr="00B22665">
        <w:rPr>
          <w:sz w:val="16"/>
          <w:szCs w:val="16"/>
        </w:rPr>
        <w:t xml:space="preserve">: Agriculture, forestry, and Veterinary science; Architecture and planning; Biological, </w:t>
      </w:r>
      <w:proofErr w:type="gramStart"/>
      <w:r w:rsidR="0098180E" w:rsidRPr="00B22665">
        <w:rPr>
          <w:sz w:val="16"/>
          <w:szCs w:val="16"/>
        </w:rPr>
        <w:t>mathematical</w:t>
      </w:r>
      <w:proofErr w:type="gramEnd"/>
      <w:r w:rsidR="0098180E" w:rsidRPr="00B22665">
        <w:rPr>
          <w:sz w:val="16"/>
          <w:szCs w:val="16"/>
        </w:rPr>
        <w:t xml:space="preserve"> and physical sciences; Engineering and technology; Medicine, dentistry and health</w:t>
      </w:r>
      <w:r w:rsidR="00D61C95" w:rsidRPr="00B22665">
        <w:rPr>
          <w:sz w:val="16"/>
          <w:szCs w:val="16"/>
        </w:rPr>
        <w:t>.</w:t>
      </w:r>
      <w:r w:rsidR="00036C78" w:rsidRPr="00B22665">
        <w:rPr>
          <w:sz w:val="16"/>
          <w:szCs w:val="16"/>
        </w:rPr>
        <w:t xml:space="preserve"> </w:t>
      </w:r>
    </w:p>
  </w:footnote>
  <w:footnote w:id="3">
    <w:p w14:paraId="30D865F7" w14:textId="03388D48" w:rsidR="009B1CE6" w:rsidRPr="009B1CE6" w:rsidRDefault="009B1CE6">
      <w:pPr>
        <w:pStyle w:val="FootnoteText"/>
        <w:rPr>
          <w:sz w:val="16"/>
          <w:szCs w:val="16"/>
        </w:rPr>
      </w:pPr>
      <w:r w:rsidRPr="009B1CE6">
        <w:rPr>
          <w:rStyle w:val="FootnoteReference"/>
          <w:sz w:val="16"/>
          <w:szCs w:val="16"/>
        </w:rPr>
        <w:footnoteRef/>
      </w:r>
      <w:r w:rsidRPr="009B1CE6">
        <w:rPr>
          <w:sz w:val="16"/>
          <w:szCs w:val="16"/>
        </w:rPr>
        <w:t xml:space="preserve"> For the purposes of our analysis, we have not included staff for whom ethnicity is </w:t>
      </w:r>
      <w:r w:rsidR="00DC2630">
        <w:rPr>
          <w:sz w:val="16"/>
          <w:szCs w:val="16"/>
        </w:rPr>
        <w:t>indicated</w:t>
      </w:r>
      <w:r w:rsidRPr="009B1CE6">
        <w:rPr>
          <w:sz w:val="16"/>
          <w:szCs w:val="16"/>
        </w:rPr>
        <w:t xml:space="preserve"> as ‘</w:t>
      </w:r>
      <w:r w:rsidR="00DC2630">
        <w:rPr>
          <w:sz w:val="16"/>
          <w:szCs w:val="16"/>
        </w:rPr>
        <w:t>un</w:t>
      </w:r>
      <w:r w:rsidRPr="009B1CE6">
        <w:rPr>
          <w:sz w:val="16"/>
          <w:szCs w:val="16"/>
        </w:rPr>
        <w:t>known’ in the dataset.</w:t>
      </w:r>
    </w:p>
  </w:footnote>
  <w:footnote w:id="4">
    <w:p w14:paraId="25A692D1" w14:textId="77777777" w:rsidR="006E638E" w:rsidRPr="009B20F0" w:rsidRDefault="006E638E" w:rsidP="006E638E">
      <w:pPr>
        <w:pStyle w:val="FootnoteText"/>
        <w:rPr>
          <w:sz w:val="16"/>
          <w:szCs w:val="16"/>
        </w:rPr>
      </w:pPr>
      <w:r w:rsidRPr="009B20F0">
        <w:rPr>
          <w:rStyle w:val="FootnoteReference"/>
          <w:sz w:val="16"/>
          <w:szCs w:val="16"/>
        </w:rPr>
        <w:footnoteRef/>
      </w:r>
      <w:r w:rsidRPr="009B20F0">
        <w:rPr>
          <w:sz w:val="16"/>
          <w:szCs w:val="16"/>
        </w:rPr>
        <w:t xml:space="preserve"> Imperial College, London (2018) Inclusive Excellence: </w:t>
      </w:r>
      <w:hyperlink r:id="rId1" w:history="1">
        <w:r w:rsidRPr="00FC30EA">
          <w:rPr>
            <w:rStyle w:val="Hyperlink"/>
            <w:sz w:val="16"/>
            <w:szCs w:val="16"/>
          </w:rPr>
          <w:t>https://www.imperial.ac.uk/media/imperial-college/administration-and-support-services/equality/public/Inclusive-Excellence-brochure-for-EDI-Strategy-2018.pdf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14FC" w14:textId="77777777" w:rsidR="009F0AD9" w:rsidRDefault="009F0AD9" w:rsidP="00D057F5">
    <w:pPr>
      <w:pStyle w:val="Header"/>
    </w:pPr>
    <w:r>
      <w:rPr>
        <w:noProof/>
        <w:lang w:eastAsia="en-GB"/>
      </w:rPr>
      <mc:AlternateContent>
        <mc:Choice Requires="wps">
          <w:drawing>
            <wp:anchor distT="0" distB="0" distL="114300" distR="114300" simplePos="0" relativeHeight="251659264" behindDoc="0" locked="0" layoutInCell="1" allowOverlap="1" wp14:anchorId="0569E6D7" wp14:editId="4AC96786">
              <wp:simplePos x="0" y="0"/>
              <wp:positionH relativeFrom="margin">
                <wp:posOffset>8255</wp:posOffset>
              </wp:positionH>
              <wp:positionV relativeFrom="paragraph">
                <wp:posOffset>414655</wp:posOffset>
              </wp:positionV>
              <wp:extent cx="6552000" cy="72000"/>
              <wp:effectExtent l="0" t="0" r="1270" b="4445"/>
              <wp:wrapNone/>
              <wp:docPr id="1" name="Rectangle 1"/>
              <wp:cNvGraphicFramePr/>
              <a:graphic xmlns:a="http://schemas.openxmlformats.org/drawingml/2006/main">
                <a:graphicData uri="http://schemas.microsoft.com/office/word/2010/wordprocessingShape">
                  <wps:wsp>
                    <wps:cNvSpPr/>
                    <wps:spPr>
                      <a:xfrm>
                        <a:off x="0" y="0"/>
                        <a:ext cx="6552000" cy="72000"/>
                      </a:xfrm>
                      <a:prstGeom prst="rect">
                        <a:avLst/>
                      </a:prstGeom>
                      <a:solidFill>
                        <a:srgbClr val="009FD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1082A5" w14:textId="77777777" w:rsidR="009F0AD9" w:rsidRDefault="00D057F5" w:rsidP="009F0AD9">
                          <w:pPr>
                            <w:jc w:val="center"/>
                          </w:pPr>
                          <w:r>
                            <w:rPr>
                              <w:noProof/>
                              <w:lang w:eastAsia="en-GB"/>
                            </w:rPr>
                            <w:drawing>
                              <wp:inline distT="0" distB="0" distL="0" distR="0" wp14:anchorId="342912A6" wp14:editId="26BD3708">
                                <wp:extent cx="6360160" cy="1361747"/>
                                <wp:effectExtent l="0" t="0" r="2540" b="0"/>
                                <wp:docPr id="21" name="Picture 21"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3617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E6D7" id="Rectangle 1" o:spid="_x0000_s1026" style="position:absolute;margin-left:.65pt;margin-top:32.65pt;width:515.9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" fillcolor="#009fd1" stroked="f">
              <v:textbox>
                <w:txbxContent>
                  <w:p w14:paraId="4A1082A5" w14:textId="77777777" w:rsidR="009F0AD9" w:rsidRDefault="00D057F5" w:rsidP="009F0AD9">
                    <w:pPr>
                      <w:jc w:val="center"/>
                    </w:pPr>
                    <w:r>
                      <w:rPr>
                        <w:noProof/>
                        <w:lang w:eastAsia="en-GB"/>
                      </w:rPr>
                      <w:drawing>
                        <wp:inline distT="0" distB="0" distL="0" distR="0" wp14:anchorId="342912A6" wp14:editId="26BD3708">
                          <wp:extent cx="6360160" cy="1361747"/>
                          <wp:effectExtent l="0" t="0" r="2540" b="0"/>
                          <wp:docPr id="21" name="Picture 21"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Mellor\AppData\Local\Microsoft\Windows\Temporary Internet Files\Content.Word\Russell Group Bann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0160" cy="1361747"/>
                                  </a:xfrm>
                                  <a:prstGeom prst="rect">
                                    <a:avLst/>
                                  </a:prstGeom>
                                  <a:noFill/>
                                  <a:ln>
                                    <a:noFill/>
                                  </a:ln>
                                </pic:spPr>
                              </pic:pic>
                            </a:graphicData>
                          </a:graphic>
                        </wp:inline>
                      </w:drawing>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B573" w14:textId="77777777" w:rsidR="00D057F5" w:rsidRDefault="00D057F5" w:rsidP="00D057F5">
    <w:pPr>
      <w:pStyle w:val="Header"/>
      <w:ind w:left="-794"/>
    </w:pPr>
    <w:r>
      <w:rPr>
        <w:noProof/>
        <w:lang w:eastAsia="en-GB"/>
      </w:rPr>
      <w:drawing>
        <wp:inline distT="0" distB="0" distL="0" distR="0" wp14:anchorId="2B9559F8" wp14:editId="1BA95437">
          <wp:extent cx="7562852" cy="1619250"/>
          <wp:effectExtent l="0" t="0" r="0" b="0"/>
          <wp:docPr id="22" name="Picture 22"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655" cy="1621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946"/>
    <w:multiLevelType w:val="hybridMultilevel"/>
    <w:tmpl w:val="1C04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 w15:restartNumberingAfterBreak="0">
    <w:nsid w:val="253648BA"/>
    <w:multiLevelType w:val="hybridMultilevel"/>
    <w:tmpl w:val="531E1C6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4" w15:restartNumberingAfterBreak="0">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B347A0"/>
    <w:multiLevelType w:val="hybridMultilevel"/>
    <w:tmpl w:val="FF74A9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59EC030F"/>
    <w:multiLevelType w:val="multilevel"/>
    <w:tmpl w:val="A61AC2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B8654A9"/>
    <w:multiLevelType w:val="hybridMultilevel"/>
    <w:tmpl w:val="27F8CB5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2"/>
  </w:num>
  <w:num w:numId="2">
    <w:abstractNumId w:val="2"/>
  </w:num>
  <w:num w:numId="3">
    <w:abstractNumId w:val="8"/>
  </w:num>
  <w:num w:numId="4">
    <w:abstractNumId w:val="4"/>
  </w:num>
  <w:num w:numId="5">
    <w:abstractNumId w:val="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2"/>
  </w:num>
  <w:num w:numId="16">
    <w:abstractNumId w:val="2"/>
  </w:num>
  <w:num w:numId="17">
    <w:abstractNumId w:val="8"/>
  </w:num>
  <w:num w:numId="18">
    <w:abstractNumId w:val="4"/>
  </w:num>
  <w:num w:numId="19">
    <w:abstractNumId w:val="1"/>
  </w:num>
  <w:num w:numId="20">
    <w:abstractNumId w:val="5"/>
  </w:num>
  <w:num w:numId="21">
    <w:abstractNumId w:val="3"/>
  </w:num>
  <w:num w:numId="22">
    <w:abstractNumId w:val="7"/>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4"/>
    <w:rsid w:val="00027CAF"/>
    <w:rsid w:val="00036C78"/>
    <w:rsid w:val="00085858"/>
    <w:rsid w:val="000A189C"/>
    <w:rsid w:val="000D5A74"/>
    <w:rsid w:val="000F68E4"/>
    <w:rsid w:val="00112818"/>
    <w:rsid w:val="00131D8C"/>
    <w:rsid w:val="00140E2B"/>
    <w:rsid w:val="00180C21"/>
    <w:rsid w:val="00181094"/>
    <w:rsid w:val="00184DEB"/>
    <w:rsid w:val="001A1094"/>
    <w:rsid w:val="001D1BF8"/>
    <w:rsid w:val="001D4D6C"/>
    <w:rsid w:val="001F22E4"/>
    <w:rsid w:val="0021033D"/>
    <w:rsid w:val="00221EE5"/>
    <w:rsid w:val="00245854"/>
    <w:rsid w:val="00250E84"/>
    <w:rsid w:val="002B75AB"/>
    <w:rsid w:val="002D53FA"/>
    <w:rsid w:val="00343068"/>
    <w:rsid w:val="00352871"/>
    <w:rsid w:val="003A36F3"/>
    <w:rsid w:val="003B6E9C"/>
    <w:rsid w:val="003C5383"/>
    <w:rsid w:val="003C6CCE"/>
    <w:rsid w:val="003D1875"/>
    <w:rsid w:val="003D3B30"/>
    <w:rsid w:val="003E1AD5"/>
    <w:rsid w:val="00416716"/>
    <w:rsid w:val="00436B36"/>
    <w:rsid w:val="0046514E"/>
    <w:rsid w:val="00474040"/>
    <w:rsid w:val="004F0BBA"/>
    <w:rsid w:val="00525174"/>
    <w:rsid w:val="005457BF"/>
    <w:rsid w:val="005D674B"/>
    <w:rsid w:val="006025EA"/>
    <w:rsid w:val="00641CD2"/>
    <w:rsid w:val="006461A5"/>
    <w:rsid w:val="00652663"/>
    <w:rsid w:val="00660C22"/>
    <w:rsid w:val="00670952"/>
    <w:rsid w:val="006A3ED5"/>
    <w:rsid w:val="006A48A5"/>
    <w:rsid w:val="006B255F"/>
    <w:rsid w:val="006C6E15"/>
    <w:rsid w:val="006E375B"/>
    <w:rsid w:val="006E638E"/>
    <w:rsid w:val="006F2C7B"/>
    <w:rsid w:val="00807583"/>
    <w:rsid w:val="00814E79"/>
    <w:rsid w:val="00820057"/>
    <w:rsid w:val="008258F3"/>
    <w:rsid w:val="00850EB3"/>
    <w:rsid w:val="00855716"/>
    <w:rsid w:val="00862089"/>
    <w:rsid w:val="00865ECA"/>
    <w:rsid w:val="00867EC0"/>
    <w:rsid w:val="00900D11"/>
    <w:rsid w:val="00910EEA"/>
    <w:rsid w:val="00926608"/>
    <w:rsid w:val="009633A3"/>
    <w:rsid w:val="00976657"/>
    <w:rsid w:val="0098180E"/>
    <w:rsid w:val="0099617D"/>
    <w:rsid w:val="009B1CE6"/>
    <w:rsid w:val="009F0AD9"/>
    <w:rsid w:val="009F5D59"/>
    <w:rsid w:val="00A05CF6"/>
    <w:rsid w:val="00A16501"/>
    <w:rsid w:val="00A54FDF"/>
    <w:rsid w:val="00AC7BF6"/>
    <w:rsid w:val="00AD756A"/>
    <w:rsid w:val="00AF469F"/>
    <w:rsid w:val="00B0224C"/>
    <w:rsid w:val="00B10AA1"/>
    <w:rsid w:val="00B22665"/>
    <w:rsid w:val="00B4055A"/>
    <w:rsid w:val="00B94D8A"/>
    <w:rsid w:val="00BA7B28"/>
    <w:rsid w:val="00BD4A66"/>
    <w:rsid w:val="00BF0041"/>
    <w:rsid w:val="00C203AA"/>
    <w:rsid w:val="00C33EB2"/>
    <w:rsid w:val="00C3418E"/>
    <w:rsid w:val="00C57686"/>
    <w:rsid w:val="00CF0A44"/>
    <w:rsid w:val="00CF0CA5"/>
    <w:rsid w:val="00D057F5"/>
    <w:rsid w:val="00D13159"/>
    <w:rsid w:val="00D14F9E"/>
    <w:rsid w:val="00D41186"/>
    <w:rsid w:val="00D45C10"/>
    <w:rsid w:val="00D61C95"/>
    <w:rsid w:val="00D86EE5"/>
    <w:rsid w:val="00DC2630"/>
    <w:rsid w:val="00DC5509"/>
    <w:rsid w:val="00DD2D07"/>
    <w:rsid w:val="00DD7E6F"/>
    <w:rsid w:val="00DF08F4"/>
    <w:rsid w:val="00E42FDA"/>
    <w:rsid w:val="00E624C0"/>
    <w:rsid w:val="00E702F7"/>
    <w:rsid w:val="00E737C3"/>
    <w:rsid w:val="00E77BA7"/>
    <w:rsid w:val="00E82F53"/>
    <w:rsid w:val="00E87FB1"/>
    <w:rsid w:val="00EC46B2"/>
    <w:rsid w:val="00F244DC"/>
    <w:rsid w:val="00F2456C"/>
    <w:rsid w:val="00F378F4"/>
    <w:rsid w:val="00F61A43"/>
    <w:rsid w:val="00F82351"/>
    <w:rsid w:val="00F83CD6"/>
    <w:rsid w:val="00F8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6FC0F"/>
  <w14:defaultImageDpi w14:val="300"/>
  <w15:docId w15:val="{90A775A6-D065-4169-A682-BDE3EF2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G formatclean"/>
    <w:uiPriority w:val="10"/>
    <w:qFormat/>
    <w:rsid w:val="00D057F5"/>
    <w:pPr>
      <w:spacing w:after="0" w:line="240" w:lineRule="auto"/>
    </w:pPr>
    <w:rPr>
      <w:rFonts w:ascii="Arial" w:hAnsi="Arial" w:cs="Arial"/>
      <w:lang w:val="en-GB"/>
    </w:rPr>
  </w:style>
  <w:style w:type="paragraph" w:styleId="Heading1">
    <w:name w:val="heading 1"/>
    <w:aliases w:val="RG head,RG head 1,Heading"/>
    <w:basedOn w:val="Normal"/>
    <w:next w:val="Heading2"/>
    <w:link w:val="Heading1Char"/>
    <w:uiPriority w:val="1"/>
    <w:qFormat/>
    <w:rsid w:val="00D057F5"/>
    <w:pPr>
      <w:numPr>
        <w:numId w:val="14"/>
      </w:numPr>
      <w:spacing w:before="240" w:after="240"/>
      <w:outlineLvl w:val="0"/>
    </w:pPr>
    <w:rPr>
      <w:rFonts w:eastAsiaTheme="majorEastAsia"/>
      <w:b/>
      <w:bCs/>
      <w:sz w:val="24"/>
      <w:szCs w:val="28"/>
    </w:rPr>
  </w:style>
  <w:style w:type="paragraph" w:styleId="Heading2">
    <w:name w:val="heading 2"/>
    <w:aliases w:val="RG para,Numbers para"/>
    <w:basedOn w:val="Normal"/>
    <w:link w:val="Heading2Char"/>
    <w:uiPriority w:val="2"/>
    <w:qFormat/>
    <w:rsid w:val="00D057F5"/>
    <w:pPr>
      <w:numPr>
        <w:ilvl w:val="1"/>
        <w:numId w:val="14"/>
      </w:numPr>
      <w:spacing w:after="240"/>
      <w:outlineLvl w:val="1"/>
    </w:pPr>
    <w:rPr>
      <w:rFonts w:eastAsiaTheme="majorEastAsia" w:cstheme="majorBidi"/>
      <w:bCs/>
      <w:szCs w:val="26"/>
    </w:rPr>
  </w:style>
  <w:style w:type="paragraph" w:styleId="Heading3">
    <w:name w:val="heading 3"/>
    <w:aliases w:val="RG para2,Letters"/>
    <w:basedOn w:val="Normal"/>
    <w:link w:val="Heading3Char"/>
    <w:uiPriority w:val="3"/>
    <w:qFormat/>
    <w:rsid w:val="00D057F5"/>
    <w:pPr>
      <w:numPr>
        <w:ilvl w:val="2"/>
        <w:numId w:val="14"/>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D057F5"/>
    <w:pPr>
      <w:numPr>
        <w:ilvl w:val="3"/>
        <w:numId w:val="14"/>
      </w:numPr>
      <w:spacing w:after="240"/>
      <w:contextualSpacing/>
      <w:outlineLvl w:val="3"/>
    </w:pPr>
    <w:rPr>
      <w:rFonts w:eastAsiaTheme="majorEastAsia"/>
      <w:bCs/>
      <w:iCs/>
      <w:lang w:val="en-US"/>
    </w:rPr>
  </w:style>
  <w:style w:type="paragraph" w:styleId="Heading5">
    <w:name w:val="heading 5"/>
    <w:basedOn w:val="Normal"/>
    <w:next w:val="Normal"/>
    <w:link w:val="Heading5Char"/>
    <w:uiPriority w:val="9"/>
    <w:qFormat/>
    <w:rsid w:val="00D057F5"/>
    <w:pPr>
      <w:numPr>
        <w:ilvl w:val="4"/>
        <w:numId w:val="14"/>
      </w:num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D057F5"/>
    <w:pPr>
      <w:numPr>
        <w:ilvl w:val="5"/>
        <w:numId w:val="14"/>
      </w:num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D057F5"/>
    <w:pPr>
      <w:numPr>
        <w:ilvl w:val="6"/>
        <w:numId w:val="14"/>
      </w:num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D057F5"/>
    <w:pPr>
      <w:numPr>
        <w:ilvl w:val="7"/>
        <w:numId w:val="14"/>
      </w:num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D057F5"/>
    <w:pPr>
      <w:ind w:left="1584" w:hanging="1584"/>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D9"/>
    <w:pPr>
      <w:tabs>
        <w:tab w:val="center" w:pos="4320"/>
        <w:tab w:val="right" w:pos="8640"/>
      </w:tabs>
    </w:pPr>
  </w:style>
  <w:style w:type="character" w:customStyle="1" w:styleId="HeaderChar">
    <w:name w:val="Header Char"/>
    <w:basedOn w:val="DefaultParagraphFont"/>
    <w:link w:val="Header"/>
    <w:uiPriority w:val="99"/>
    <w:rsid w:val="009F0AD9"/>
  </w:style>
  <w:style w:type="paragraph" w:styleId="Footer">
    <w:name w:val="footer"/>
    <w:basedOn w:val="Normal"/>
    <w:link w:val="FooterChar"/>
    <w:uiPriority w:val="99"/>
    <w:unhideWhenUsed/>
    <w:rsid w:val="009F0AD9"/>
    <w:pPr>
      <w:tabs>
        <w:tab w:val="center" w:pos="4320"/>
        <w:tab w:val="right" w:pos="8640"/>
      </w:tabs>
    </w:pPr>
  </w:style>
  <w:style w:type="character" w:customStyle="1" w:styleId="FooterChar">
    <w:name w:val="Footer Char"/>
    <w:basedOn w:val="DefaultParagraphFont"/>
    <w:link w:val="Footer"/>
    <w:uiPriority w:val="99"/>
    <w:rsid w:val="009F0AD9"/>
  </w:style>
  <w:style w:type="paragraph" w:customStyle="1" w:styleId="RGdonotuse1">
    <w:name w:val="RG do not use1"/>
    <w:basedOn w:val="Normal"/>
    <w:uiPriority w:val="99"/>
    <w:semiHidden/>
    <w:qFormat/>
    <w:rsid w:val="00D057F5"/>
    <w:pPr>
      <w:numPr>
        <w:numId w:val="16"/>
      </w:numPr>
      <w:tabs>
        <w:tab w:val="num" w:pos="360"/>
      </w:tabs>
      <w:spacing w:after="240"/>
      <w:ind w:left="0" w:firstLine="0"/>
      <w:contextualSpacing/>
    </w:pPr>
  </w:style>
  <w:style w:type="paragraph" w:customStyle="1" w:styleId="RGdonotuse2">
    <w:name w:val="RG do not use2"/>
    <w:basedOn w:val="RGdonotuse1"/>
    <w:uiPriority w:val="99"/>
    <w:semiHidden/>
    <w:qFormat/>
    <w:rsid w:val="00D057F5"/>
    <w:pPr>
      <w:numPr>
        <w:ilvl w:val="1"/>
      </w:numPr>
      <w:tabs>
        <w:tab w:val="num" w:pos="360"/>
      </w:tabs>
      <w:ind w:left="0" w:firstLine="0"/>
    </w:pPr>
  </w:style>
  <w:style w:type="paragraph" w:customStyle="1" w:styleId="RGbul1">
    <w:name w:val="RG bul1"/>
    <w:basedOn w:val="Normal"/>
    <w:uiPriority w:val="6"/>
    <w:qFormat/>
    <w:rsid w:val="00D057F5"/>
    <w:pPr>
      <w:numPr>
        <w:numId w:val="17"/>
      </w:numPr>
      <w:spacing w:after="240"/>
    </w:pPr>
  </w:style>
  <w:style w:type="paragraph" w:customStyle="1" w:styleId="RGsubhead1">
    <w:name w:val="RG subhead1"/>
    <w:basedOn w:val="Normal"/>
    <w:next w:val="Heading2"/>
    <w:uiPriority w:val="7"/>
    <w:qFormat/>
    <w:rsid w:val="00D057F5"/>
    <w:pPr>
      <w:spacing w:after="240"/>
    </w:pPr>
    <w:rPr>
      <w:b/>
    </w:rPr>
  </w:style>
  <w:style w:type="character" w:customStyle="1" w:styleId="Heading2Char">
    <w:name w:val="Heading 2 Char"/>
    <w:aliases w:val="RG para Char,Numbers para Char"/>
    <w:basedOn w:val="DefaultParagraphFont"/>
    <w:link w:val="Heading2"/>
    <w:uiPriority w:val="2"/>
    <w:rsid w:val="00D057F5"/>
    <w:rPr>
      <w:rFonts w:ascii="Arial" w:eastAsiaTheme="majorEastAsia" w:hAnsi="Arial" w:cstheme="majorBidi"/>
      <w:bCs/>
      <w:szCs w:val="26"/>
      <w:lang w:val="en-GB"/>
    </w:rPr>
  </w:style>
  <w:style w:type="paragraph" w:customStyle="1" w:styleId="RGsubhead2">
    <w:name w:val="RG subhead2"/>
    <w:basedOn w:val="Normal"/>
    <w:next w:val="Heading2"/>
    <w:uiPriority w:val="8"/>
    <w:qFormat/>
    <w:rsid w:val="00D057F5"/>
    <w:pPr>
      <w:spacing w:after="240"/>
    </w:pPr>
    <w:rPr>
      <w:i/>
    </w:rPr>
  </w:style>
  <w:style w:type="paragraph" w:customStyle="1" w:styleId="RGCovernum">
    <w:name w:val="RG Cover num"/>
    <w:basedOn w:val="ListParagraph"/>
    <w:link w:val="RGCovernumChar"/>
    <w:uiPriority w:val="9"/>
    <w:qFormat/>
    <w:rsid w:val="00D057F5"/>
    <w:pPr>
      <w:numPr>
        <w:numId w:val="18"/>
      </w:numPr>
      <w:spacing w:after="240"/>
      <w:contextualSpacing w:val="0"/>
    </w:pPr>
  </w:style>
  <w:style w:type="character" w:customStyle="1" w:styleId="RGCovernumChar">
    <w:name w:val="RG Cover num Char"/>
    <w:basedOn w:val="DefaultParagraphFont"/>
    <w:link w:val="RGCovernum"/>
    <w:uiPriority w:val="9"/>
    <w:rsid w:val="00D057F5"/>
    <w:rPr>
      <w:rFonts w:ascii="Arial" w:hAnsi="Arial" w:cs="Arial"/>
      <w:lang w:val="en-GB"/>
    </w:rPr>
  </w:style>
  <w:style w:type="paragraph" w:styleId="ListParagraph">
    <w:name w:val="List Paragraph"/>
    <w:basedOn w:val="Normal"/>
    <w:uiPriority w:val="34"/>
    <w:qFormat/>
    <w:rsid w:val="00D057F5"/>
    <w:pPr>
      <w:ind w:left="720"/>
      <w:contextualSpacing/>
    </w:pPr>
  </w:style>
  <w:style w:type="paragraph" w:customStyle="1" w:styleId="Bullets">
    <w:name w:val="Bullets"/>
    <w:basedOn w:val="Normal"/>
    <w:qFormat/>
    <w:rsid w:val="00D057F5"/>
    <w:pPr>
      <w:numPr>
        <w:numId w:val="19"/>
      </w:numPr>
      <w:spacing w:after="120" w:line="260" w:lineRule="exact"/>
    </w:pPr>
    <w:rPr>
      <w:rFonts w:eastAsiaTheme="minorHAnsi" w:cstheme="minorBidi"/>
      <w:sz w:val="20"/>
    </w:rPr>
  </w:style>
  <w:style w:type="paragraph" w:customStyle="1" w:styleId="NormalRG">
    <w:name w:val="Normal RG"/>
    <w:link w:val="NormalRGChar"/>
    <w:uiPriority w:val="10"/>
    <w:qFormat/>
    <w:rsid w:val="00D057F5"/>
    <w:rPr>
      <w:rFonts w:ascii="Arial" w:eastAsiaTheme="majorEastAsia" w:hAnsi="Arial" w:cs="Arial"/>
      <w:bCs/>
      <w:lang w:val="en-GB"/>
    </w:rPr>
  </w:style>
  <w:style w:type="character" w:customStyle="1" w:styleId="NormalRGChar">
    <w:name w:val="Normal RG Char"/>
    <w:basedOn w:val="DefaultParagraphFont"/>
    <w:link w:val="NormalRG"/>
    <w:uiPriority w:val="10"/>
    <w:rsid w:val="00D057F5"/>
    <w:rPr>
      <w:rFonts w:ascii="Arial" w:eastAsiaTheme="majorEastAsia" w:hAnsi="Arial" w:cs="Arial"/>
      <w:bCs/>
      <w:lang w:val="en-GB"/>
    </w:rPr>
  </w:style>
  <w:style w:type="character" w:customStyle="1" w:styleId="Heading1Char">
    <w:name w:val="Heading 1 Char"/>
    <w:aliases w:val="RG head Char,RG head 1 Char,Heading Char"/>
    <w:basedOn w:val="DefaultParagraphFont"/>
    <w:link w:val="Heading1"/>
    <w:uiPriority w:val="1"/>
    <w:rsid w:val="00D057F5"/>
    <w:rPr>
      <w:rFonts w:ascii="Arial" w:eastAsiaTheme="majorEastAsia" w:hAnsi="Arial" w:cs="Arial"/>
      <w:b/>
      <w:bCs/>
      <w:sz w:val="24"/>
      <w:szCs w:val="28"/>
      <w:lang w:val="en-GB"/>
    </w:rPr>
  </w:style>
  <w:style w:type="character" w:customStyle="1" w:styleId="Heading3Char">
    <w:name w:val="Heading 3 Char"/>
    <w:aliases w:val="RG para2 Char,Letters Char"/>
    <w:basedOn w:val="DefaultParagraphFont"/>
    <w:link w:val="Heading3"/>
    <w:uiPriority w:val="3"/>
    <w:rsid w:val="00D057F5"/>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D057F5"/>
    <w:rPr>
      <w:rFonts w:ascii="Arial" w:eastAsiaTheme="majorEastAsia" w:hAnsi="Arial" w:cs="Arial"/>
      <w:bCs/>
      <w:iCs/>
    </w:rPr>
  </w:style>
  <w:style w:type="character" w:customStyle="1" w:styleId="Heading5Char">
    <w:name w:val="Heading 5 Char"/>
    <w:basedOn w:val="DefaultParagraphFont"/>
    <w:link w:val="Heading5"/>
    <w:uiPriority w:val="9"/>
    <w:rsid w:val="00D057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57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57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57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7F5"/>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057F5"/>
    <w:pPr>
      <w:spacing w:after="240"/>
      <w:jc w:val="center"/>
    </w:pPr>
    <w:rPr>
      <w:b/>
      <w:sz w:val="32"/>
      <w:szCs w:val="32"/>
    </w:rPr>
  </w:style>
  <w:style w:type="character" w:customStyle="1" w:styleId="TitleChar">
    <w:name w:val="Title Char"/>
    <w:aliases w:val="RG Title Char"/>
    <w:basedOn w:val="DefaultParagraphFont"/>
    <w:link w:val="Title"/>
    <w:rsid w:val="00D057F5"/>
    <w:rPr>
      <w:rFonts w:ascii="Arial" w:hAnsi="Arial" w:cs="Arial"/>
      <w:b/>
      <w:sz w:val="32"/>
      <w:szCs w:val="32"/>
      <w:lang w:val="en-GB"/>
    </w:rPr>
  </w:style>
  <w:style w:type="paragraph" w:styleId="Quote">
    <w:name w:val="Quote"/>
    <w:aliases w:val="RG Quotation"/>
    <w:basedOn w:val="Normal"/>
    <w:next w:val="Heading2"/>
    <w:link w:val="QuoteChar"/>
    <w:uiPriority w:val="5"/>
    <w:qFormat/>
    <w:rsid w:val="00D057F5"/>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057F5"/>
    <w:rPr>
      <w:rFonts w:ascii="Garamond" w:hAnsi="Garamond" w:cs="Arial"/>
      <w:iCs/>
      <w:color w:val="221100"/>
      <w:spacing w:val="2"/>
      <w:sz w:val="24"/>
      <w:szCs w:val="24"/>
      <w:lang w:val="en-GB"/>
    </w:rPr>
  </w:style>
  <w:style w:type="paragraph" w:styleId="TOCHeading">
    <w:name w:val="TOC Heading"/>
    <w:basedOn w:val="Heading1"/>
    <w:next w:val="Normal"/>
    <w:uiPriority w:val="39"/>
    <w:semiHidden/>
    <w:unhideWhenUsed/>
    <w:qFormat/>
    <w:rsid w:val="00D057F5"/>
    <w:pPr>
      <w:numPr>
        <w:numId w:val="0"/>
      </w:numPr>
      <w:outlineLvl w:val="9"/>
    </w:pPr>
  </w:style>
  <w:style w:type="paragraph" w:styleId="BalloonText">
    <w:name w:val="Balloon Text"/>
    <w:basedOn w:val="Normal"/>
    <w:link w:val="BalloonTextChar"/>
    <w:uiPriority w:val="99"/>
    <w:semiHidden/>
    <w:unhideWhenUsed/>
    <w:rsid w:val="00D057F5"/>
    <w:rPr>
      <w:rFonts w:ascii="Tahoma" w:hAnsi="Tahoma" w:cs="Tahoma"/>
      <w:sz w:val="16"/>
      <w:szCs w:val="16"/>
    </w:rPr>
  </w:style>
  <w:style w:type="character" w:customStyle="1" w:styleId="BalloonTextChar">
    <w:name w:val="Balloon Text Char"/>
    <w:basedOn w:val="DefaultParagraphFont"/>
    <w:link w:val="BalloonText"/>
    <w:uiPriority w:val="99"/>
    <w:semiHidden/>
    <w:rsid w:val="00D057F5"/>
    <w:rPr>
      <w:rFonts w:ascii="Tahoma" w:hAnsi="Tahoma" w:cs="Tahoma"/>
      <w:sz w:val="16"/>
      <w:szCs w:val="16"/>
      <w:lang w:val="en-G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245854"/>
    <w:rPr>
      <w:rFonts w:eastAsia="Times New Roman"/>
      <w:sz w:val="20"/>
      <w:szCs w:val="20"/>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245854"/>
    <w:rPr>
      <w:rFonts w:ascii="Arial" w:eastAsia="Times New Roman" w:hAnsi="Arial" w:cs="Arial"/>
      <w:sz w:val="20"/>
      <w:szCs w:val="20"/>
      <w:lang w:val="en-GB"/>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245854"/>
    <w:rPr>
      <w:rFonts w:cs="Times New Roman"/>
      <w:vertAlign w:val="superscript"/>
    </w:rPr>
  </w:style>
  <w:style w:type="table" w:styleId="TableGrid">
    <w:name w:val="Table Grid"/>
    <w:basedOn w:val="TableNormal"/>
    <w:uiPriority w:val="59"/>
    <w:rsid w:val="006E638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38E"/>
    <w:rPr>
      <w:sz w:val="16"/>
      <w:szCs w:val="16"/>
    </w:rPr>
  </w:style>
  <w:style w:type="paragraph" w:styleId="CommentText">
    <w:name w:val="annotation text"/>
    <w:basedOn w:val="Normal"/>
    <w:link w:val="CommentTextChar"/>
    <w:uiPriority w:val="99"/>
    <w:semiHidden/>
    <w:unhideWhenUsed/>
    <w:rsid w:val="006E638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638E"/>
    <w:rPr>
      <w:rFonts w:eastAsiaTheme="minorHAnsi"/>
      <w:sz w:val="20"/>
      <w:szCs w:val="20"/>
      <w:lang w:val="en-GB"/>
    </w:rPr>
  </w:style>
  <w:style w:type="character" w:styleId="Hyperlink">
    <w:name w:val="Hyperlink"/>
    <w:basedOn w:val="DefaultParagraphFont"/>
    <w:uiPriority w:val="99"/>
    <w:unhideWhenUsed/>
    <w:rsid w:val="006E638E"/>
    <w:rPr>
      <w:color w:val="1DA0CA" w:themeColor="hyperlink"/>
      <w:u w:val="single"/>
    </w:rPr>
  </w:style>
  <w:style w:type="paragraph" w:styleId="CommentSubject">
    <w:name w:val="annotation subject"/>
    <w:basedOn w:val="CommentText"/>
    <w:next w:val="CommentText"/>
    <w:link w:val="CommentSubjectChar"/>
    <w:uiPriority w:val="99"/>
    <w:semiHidden/>
    <w:unhideWhenUsed/>
    <w:rsid w:val="00181094"/>
    <w:pPr>
      <w:spacing w:after="0"/>
    </w:pPr>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181094"/>
    <w:rPr>
      <w:rFonts w:ascii="Arial" w:eastAsiaTheme="minorHAnsi" w:hAnsi="Arial" w:cs="Arial"/>
      <w:b/>
      <w:bCs/>
      <w:sz w:val="20"/>
      <w:szCs w:val="20"/>
      <w:lang w:val="en-GB"/>
    </w:rPr>
  </w:style>
  <w:style w:type="paragraph" w:customStyle="1" w:styleId="paragraph">
    <w:name w:val="paragraph"/>
    <w:basedOn w:val="Normal"/>
    <w:rsid w:val="00910EE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0EEA"/>
  </w:style>
  <w:style w:type="character" w:customStyle="1" w:styleId="eop">
    <w:name w:val="eop"/>
    <w:basedOn w:val="DefaultParagraphFont"/>
    <w:rsid w:val="0091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46004">
      <w:bodyDiv w:val="1"/>
      <w:marLeft w:val="0"/>
      <w:marRight w:val="0"/>
      <w:marTop w:val="0"/>
      <w:marBottom w:val="0"/>
      <w:divBdr>
        <w:top w:val="none" w:sz="0" w:space="0" w:color="auto"/>
        <w:left w:val="none" w:sz="0" w:space="0" w:color="auto"/>
        <w:bottom w:val="none" w:sz="0" w:space="0" w:color="auto"/>
        <w:right w:val="none" w:sz="0" w:space="0" w:color="auto"/>
      </w:divBdr>
    </w:div>
    <w:div w:id="1271737840">
      <w:bodyDiv w:val="1"/>
      <w:marLeft w:val="0"/>
      <w:marRight w:val="0"/>
      <w:marTop w:val="0"/>
      <w:marBottom w:val="0"/>
      <w:divBdr>
        <w:top w:val="none" w:sz="0" w:space="0" w:color="auto"/>
        <w:left w:val="none" w:sz="0" w:space="0" w:color="auto"/>
        <w:bottom w:val="none" w:sz="0" w:space="0" w:color="auto"/>
        <w:right w:val="none" w:sz="0" w:space="0" w:color="auto"/>
      </w:divBdr>
      <w:divsChild>
        <w:div w:id="479150068">
          <w:marLeft w:val="0"/>
          <w:marRight w:val="0"/>
          <w:marTop w:val="0"/>
          <w:marBottom w:val="0"/>
          <w:divBdr>
            <w:top w:val="none" w:sz="0" w:space="0" w:color="auto"/>
            <w:left w:val="none" w:sz="0" w:space="0" w:color="auto"/>
            <w:bottom w:val="none" w:sz="0" w:space="0" w:color="auto"/>
            <w:right w:val="none" w:sz="0" w:space="0" w:color="auto"/>
          </w:divBdr>
        </w:div>
        <w:div w:id="273219835">
          <w:marLeft w:val="0"/>
          <w:marRight w:val="0"/>
          <w:marTop w:val="0"/>
          <w:marBottom w:val="0"/>
          <w:divBdr>
            <w:top w:val="none" w:sz="0" w:space="0" w:color="auto"/>
            <w:left w:val="none" w:sz="0" w:space="0" w:color="auto"/>
            <w:bottom w:val="none" w:sz="0" w:space="0" w:color="auto"/>
            <w:right w:val="none" w:sz="0" w:space="0" w:color="auto"/>
          </w:divBdr>
        </w:div>
        <w:div w:id="926497459">
          <w:marLeft w:val="0"/>
          <w:marRight w:val="0"/>
          <w:marTop w:val="0"/>
          <w:marBottom w:val="0"/>
          <w:divBdr>
            <w:top w:val="none" w:sz="0" w:space="0" w:color="auto"/>
            <w:left w:val="none" w:sz="0" w:space="0" w:color="auto"/>
            <w:bottom w:val="none" w:sz="0" w:space="0" w:color="auto"/>
            <w:right w:val="none" w:sz="0" w:space="0" w:color="auto"/>
          </w:divBdr>
        </w:div>
        <w:div w:id="1813205112">
          <w:marLeft w:val="0"/>
          <w:marRight w:val="0"/>
          <w:marTop w:val="0"/>
          <w:marBottom w:val="0"/>
          <w:divBdr>
            <w:top w:val="none" w:sz="0" w:space="0" w:color="auto"/>
            <w:left w:val="none" w:sz="0" w:space="0" w:color="auto"/>
            <w:bottom w:val="none" w:sz="0" w:space="0" w:color="auto"/>
            <w:right w:val="none" w:sz="0" w:space="0" w:color="auto"/>
          </w:divBdr>
        </w:div>
        <w:div w:id="1032461881">
          <w:marLeft w:val="0"/>
          <w:marRight w:val="0"/>
          <w:marTop w:val="0"/>
          <w:marBottom w:val="0"/>
          <w:divBdr>
            <w:top w:val="none" w:sz="0" w:space="0" w:color="auto"/>
            <w:left w:val="none" w:sz="0" w:space="0" w:color="auto"/>
            <w:bottom w:val="none" w:sz="0" w:space="0" w:color="auto"/>
            <w:right w:val="none" w:sz="0" w:space="0" w:color="auto"/>
          </w:divBdr>
        </w:div>
        <w:div w:id="833101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perial.ac.uk/media/imperial-college/administration-and-support-services/equality/public/Inclusive-Excellence-brochure-for-EDI-Strategy-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20Cole\AppData\Local\Microsoft\Windows\INetCache\Content.Outlook\0GPY3P76\DI%20APPG%20data%20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GB" sz="1050" b="1"/>
              <a:t>Ethnicity of staff</a:t>
            </a:r>
            <a:r>
              <a:rPr lang="en-GB" sz="1050" b="1" baseline="0"/>
              <a:t> at Russell Group universities working in STEM departments</a:t>
            </a:r>
            <a:endParaRPr lang="en-GB" sz="1050" b="1"/>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370820495264172"/>
          <c:y val="0.18155124923352439"/>
          <c:w val="0.39846019247594044"/>
          <c:h val="0.8156366857109486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AE-40FA-A457-E56CED7389D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6AE-40FA-A457-E56CED7389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AE-40FA-A457-E56CED7389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AE-40FA-A457-E56CED7389D8}"/>
              </c:ext>
            </c:extLst>
          </c:dPt>
          <c:dPt>
            <c:idx val="4"/>
            <c:bubble3D val="0"/>
            <c:spPr>
              <a:solidFill>
                <a:schemeClr val="accent2"/>
              </a:solidFill>
              <a:ln w="19050">
                <a:solidFill>
                  <a:schemeClr val="lt1"/>
                </a:solidFill>
              </a:ln>
              <a:effectLst/>
            </c:spPr>
            <c:extLst>
              <c:ext xmlns:c16="http://schemas.microsoft.com/office/drawing/2014/chart" uri="{C3380CC4-5D6E-409C-BE32-E72D297353CC}">
                <c16:uniqueId val="{00000009-86AE-40FA-A457-E56CED7389D8}"/>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2"/>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86AE-40FA-A457-E56CED7389D8}"/>
                </c:ext>
              </c:extLst>
            </c:dLbl>
            <c:dLbl>
              <c:idx val="4"/>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2"/>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9-86AE-40FA-A457-E56CED7389D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('RGU ethnicity'!$A$2:$A$5,'RGU ethnicity'!$A$7)</c:f>
              <c:strCache>
                <c:ptCount val="5"/>
                <c:pt idx="0">
                  <c:v>Asian</c:v>
                </c:pt>
                <c:pt idx="1">
                  <c:v>Black</c:v>
                </c:pt>
                <c:pt idx="2">
                  <c:v>Mixed</c:v>
                </c:pt>
                <c:pt idx="3">
                  <c:v>Other</c:v>
                </c:pt>
                <c:pt idx="4">
                  <c:v>White</c:v>
                </c:pt>
              </c:strCache>
            </c:strRef>
          </c:cat>
          <c:val>
            <c:numRef>
              <c:f>('RGU ethnicity'!$L$2:$L$5,'RGU ethnicity'!$L$7)</c:f>
              <c:numCache>
                <c:formatCode>0%</c:formatCode>
                <c:ptCount val="5"/>
                <c:pt idx="0">
                  <c:v>0.12227659326575789</c:v>
                </c:pt>
                <c:pt idx="1">
                  <c:v>1.6136548992193873E-2</c:v>
                </c:pt>
                <c:pt idx="2">
                  <c:v>2.2195036700454387E-2</c:v>
                </c:pt>
                <c:pt idx="3">
                  <c:v>2.0156122567866714E-2</c:v>
                </c:pt>
                <c:pt idx="4">
                  <c:v>0.81923569847372713</c:v>
                </c:pt>
              </c:numCache>
            </c:numRef>
          </c:val>
          <c:extLst>
            <c:ext xmlns:c16="http://schemas.microsoft.com/office/drawing/2014/chart" uri="{C3380CC4-5D6E-409C-BE32-E72D297353CC}">
              <c16:uniqueId val="{0000000A-86AE-40FA-A457-E56CED7389D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1">
  <a:themeElements>
    <a:clrScheme name="Custom 2">
      <a:dk1>
        <a:srgbClr val="000000"/>
      </a:dk1>
      <a:lt1>
        <a:sysClr val="window" lastClr="FFFFFF"/>
      </a:lt1>
      <a:dk2>
        <a:srgbClr val="009FD1"/>
      </a:dk2>
      <a:lt2>
        <a:srgbClr val="FFFFFF"/>
      </a:lt2>
      <a:accent1>
        <a:srgbClr val="009FD1"/>
      </a:accent1>
      <a:accent2>
        <a:srgbClr val="005B7E"/>
      </a:accent2>
      <a:accent3>
        <a:srgbClr val="FDBA12"/>
      </a:accent3>
      <a:accent4>
        <a:srgbClr val="F15D5E"/>
      </a:accent4>
      <a:accent5>
        <a:srgbClr val="9D3393"/>
      </a:accent5>
      <a:accent6>
        <a:srgbClr val="77C25F"/>
      </a:accent6>
      <a:hlink>
        <a:srgbClr val="1DA0CA"/>
      </a:hlink>
      <a:folHlink>
        <a:srgbClr val="1DA0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4CEE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32005A1A-72A3-4683-860A-AB417B2E6B1A}" vid="{AE7831D9-33BA-456A-8E7A-C2655744FE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F374-DB63-475B-B52E-533C7D6E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400 Communications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Turhan</dc:creator>
  <cp:lastModifiedBy>Turhan,Cat</cp:lastModifiedBy>
  <cp:revision>2</cp:revision>
  <dcterms:created xsi:type="dcterms:W3CDTF">2021-02-10T15:38:00Z</dcterms:created>
  <dcterms:modified xsi:type="dcterms:W3CDTF">2021-02-10T15:38:00Z</dcterms:modified>
</cp:coreProperties>
</file>